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2A498" w14:textId="77777777" w:rsidR="00EA1ACF" w:rsidRDefault="005024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1F81167D" w14:textId="77777777" w:rsidR="00EA1ACF" w:rsidRDefault="005024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64886E3" w14:textId="22B01B18" w:rsidR="00EA1ACF" w:rsidRDefault="005024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F426A2">
        <w:rPr>
          <w:rFonts w:ascii="Corbel" w:hAnsi="Corbel"/>
          <w:i/>
          <w:smallCaps/>
          <w:sz w:val="24"/>
          <w:szCs w:val="24"/>
        </w:rPr>
        <w:t xml:space="preserve"> 2023-2025</w:t>
      </w:r>
    </w:p>
    <w:p w14:paraId="176B8543" w14:textId="77777777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2E42A2B" w14:textId="62953CE7" w:rsidR="00EA1ACF" w:rsidRDefault="005024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235D2">
        <w:rPr>
          <w:rFonts w:ascii="Corbel" w:hAnsi="Corbel"/>
          <w:sz w:val="20"/>
          <w:szCs w:val="20"/>
        </w:rPr>
        <w:t>ok akademicki   202</w:t>
      </w:r>
      <w:r w:rsidR="00F426A2">
        <w:rPr>
          <w:rFonts w:ascii="Corbel" w:hAnsi="Corbel"/>
          <w:sz w:val="20"/>
          <w:szCs w:val="20"/>
        </w:rPr>
        <w:t>4</w:t>
      </w:r>
      <w:r w:rsidR="008235D2">
        <w:rPr>
          <w:rFonts w:ascii="Corbel" w:hAnsi="Corbel"/>
          <w:sz w:val="20"/>
          <w:szCs w:val="20"/>
        </w:rPr>
        <w:t>-202</w:t>
      </w:r>
      <w:r w:rsidR="00F426A2">
        <w:rPr>
          <w:rFonts w:ascii="Corbel" w:hAnsi="Corbel"/>
          <w:sz w:val="20"/>
          <w:szCs w:val="20"/>
        </w:rPr>
        <w:t>5</w:t>
      </w:r>
    </w:p>
    <w:p w14:paraId="56326A65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287610" w14:textId="77777777" w:rsidR="00EA1ACF" w:rsidRDefault="005024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EA1ACF" w:rsidRPr="008235D2" w14:paraId="323A8D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627B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9003" w14:textId="6A0CE4F8" w:rsidR="00EA1ACF" w:rsidRPr="008235D2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</w:pPr>
            <w:r w:rsidRPr="008235D2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Przestrzeń, ruch, dźwięk; wymiary komunikacji niewerbalnej</w:t>
            </w:r>
          </w:p>
        </w:tc>
      </w:tr>
      <w:tr w:rsidR="00EA1ACF" w14:paraId="6E15121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D4309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707C" w14:textId="77777777" w:rsidR="00EA1ACF" w:rsidRDefault="00EA1AC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1ACF" w14:paraId="61DA7B3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3241" w14:textId="77777777" w:rsidR="00EA1ACF" w:rsidRDefault="005024F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A8E1" w14:textId="0661E32F" w:rsidR="00EA1ACF" w:rsidRDefault="00F426A2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F426A2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F426A2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UR, </w:t>
            </w:r>
            <w:r w:rsidR="005024FC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C82E90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EA1ACF" w14:paraId="54AEF95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8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E05D" w14:textId="74552DC1" w:rsidR="00EA1ACF" w:rsidRDefault="005024F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F426A2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EA1ACF" w14:paraId="5904492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8415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F9E9" w14:textId="36791527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A1ACF" w14:paraId="42ACB5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6E0B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AE62" w14:textId="212649A3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EA1ACF" w14:paraId="754E45B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7F50D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0DC40" w14:textId="03CAE22A" w:rsidR="00EA1ACF" w:rsidRDefault="00542C14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EA1ACF" w14:paraId="2268058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53560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D9132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A1ACF" w14:paraId="09074E0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E822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1CE4" w14:textId="1C368C66" w:rsidR="00EA1ACF" w:rsidRDefault="00C82E9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2/IV</w:t>
            </w:r>
          </w:p>
        </w:tc>
      </w:tr>
      <w:tr w:rsidR="00EA1ACF" w14:paraId="4F22968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AF18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F2747" w14:textId="22680F0B" w:rsidR="00EA1ACF" w:rsidRDefault="006F2E0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E0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bookmarkStart w:id="0" w:name="_GoBack"/>
            <w:bookmarkEnd w:id="0"/>
          </w:p>
        </w:tc>
      </w:tr>
      <w:tr w:rsidR="00EA1ACF" w14:paraId="6CFB45C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7FD1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7487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EA1ACF" w14:paraId="6D178AB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07187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35AA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A1ACF" w14:paraId="56820F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11453" w14:textId="77777777" w:rsidR="00EA1ACF" w:rsidRDefault="005024F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59495" w14:textId="77777777" w:rsidR="00EA1ACF" w:rsidRDefault="005024FC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569BF5AE" w14:textId="77777777" w:rsidR="00EA1ACF" w:rsidRDefault="005024F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82D0368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E8758A" w14:textId="77777777" w:rsidR="00EA1ACF" w:rsidRDefault="005024F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F1F0EC" w14:textId="77777777" w:rsidR="00EA1ACF" w:rsidRDefault="00EA1AC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EA1ACF" w14:paraId="688A6EA6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53A5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F9A679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5F6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BC39C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C1A6D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EB0E0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43CCB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1328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D672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C95A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057F1" w14:textId="77777777" w:rsidR="00EA1ACF" w:rsidRDefault="005024F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A1ACF" w14:paraId="1EF91064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B5B1" w14:textId="19530BD9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E038A" w14:textId="3BCDB466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AC6D5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AC367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7211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CF43A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277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1DF1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73A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62A14" w14:textId="3C86F725" w:rsidR="00EA1ACF" w:rsidRDefault="00542C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1ACF" w14:paraId="231B3317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69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9DB6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80E22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FEF9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C8161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C47CB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239E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23B64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D40BF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9BBEC" w14:textId="77777777" w:rsidR="00EA1ACF" w:rsidRDefault="00EA1A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83B1A0" w14:textId="77777777" w:rsidR="00EA1ACF" w:rsidRDefault="00EA1AC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4230C7" w14:textId="77777777" w:rsidR="00EA1ACF" w:rsidRDefault="00EA1AC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55FA1D" w14:textId="77777777" w:rsidR="00EA1ACF" w:rsidRDefault="005024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36910BC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20B3F336" w14:textId="77777777" w:rsidR="00EA1ACF" w:rsidRDefault="005024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F426A2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32861C49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7E2CD" w14:textId="77777777" w:rsidR="00EA1ACF" w:rsidRDefault="005024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09C4BADA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0F1A5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32679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A1ACF" w14:paraId="2028DB3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7E07F" w14:textId="77777777" w:rsidR="00EA1ACF" w:rsidRDefault="005024FC">
            <w:pPr>
              <w:snapToGrid w:val="0"/>
            </w:pPr>
            <w:r>
              <w:t>Podstawowa wiedza ogólna z zakresu nauk o kulturze;</w:t>
            </w:r>
          </w:p>
          <w:p w14:paraId="731C6198" w14:textId="77777777" w:rsidR="00EA1ACF" w:rsidRDefault="005024FC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14:paraId="22D8EEFE" w14:textId="77777777" w:rsidR="00EA1ACF" w:rsidRDefault="00EA1ACF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14:paraId="775559F7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14:paraId="206954D0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03E7819D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W przypadku niemożliwości przeprowadzenia pracy terenowej, słuchacze będą dokonywać w ramach przedmiotu pracę na obiektach dostępnych i symulacje.</w:t>
            </w:r>
          </w:p>
          <w:p w14:paraId="6364138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114E751E" w14:textId="77777777" w:rsidR="00EA1ACF" w:rsidRPr="00542C14" w:rsidRDefault="005024FC">
            <w:pPr>
              <w:snapToGrid w:val="0"/>
              <w:spacing w:before="40" w:after="40"/>
              <w:rPr>
                <w:rFonts w:ascii="Corbel" w:hAnsi="Corbel"/>
              </w:rPr>
            </w:pPr>
            <w:r w:rsidRPr="00542C14"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  <w:t>UWAGA</w:t>
            </w: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09EFCD87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b/>
                <w:bCs/>
                <w:color w:val="000000"/>
                <w:sz w:val="24"/>
                <w:szCs w:val="24"/>
              </w:rPr>
            </w:pPr>
          </w:p>
          <w:p w14:paraId="4FAC6E69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25149F18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2328133E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  <w:p w14:paraId="5376FBDA" w14:textId="77777777" w:rsidR="00EA1ACF" w:rsidRPr="00542C14" w:rsidRDefault="00EA1ACF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</w:p>
          <w:p w14:paraId="16A8BB3B" w14:textId="77777777" w:rsidR="00EA1ACF" w:rsidRPr="00542C14" w:rsidRDefault="005024FC">
            <w:pPr>
              <w:snapToGrid w:val="0"/>
              <w:spacing w:before="40" w:after="4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4"/>
                <w:szCs w:val="24"/>
              </w:rPr>
              <w:t>Integralną częścią zajęć są zajęcia terenowe (samodzielne i z nauczycielem) obejmujące:</w:t>
            </w:r>
          </w:p>
          <w:p w14:paraId="62238286" w14:textId="77777777" w:rsidR="00EA1ACF" w:rsidRPr="00542C14" w:rsidRDefault="005024FC">
            <w:pPr>
              <w:numPr>
                <w:ilvl w:val="0"/>
                <w:numId w:val="4"/>
              </w:numPr>
              <w:snapToGrid w:val="0"/>
              <w:spacing w:line="240" w:lineRule="auto"/>
              <w:ind w:left="0" w:firstLine="0"/>
              <w:rPr>
                <w:rFonts w:ascii="Corbel" w:eastAsia="Arial CE" w:hAnsi="Corbel" w:cs="Arial CE"/>
                <w:color w:val="000000"/>
                <w:sz w:val="24"/>
                <w:szCs w:val="24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praktykę szkicu sytuacyjnego;</w:t>
            </w:r>
          </w:p>
          <w:p w14:paraId="07534273" w14:textId="77777777" w:rsidR="00EA1ACF" w:rsidRDefault="005024FC">
            <w:pPr>
              <w:numPr>
                <w:ilvl w:val="0"/>
                <w:numId w:val="4"/>
              </w:numPr>
              <w:autoSpaceDE w:val="0"/>
              <w:snapToGrid w:val="0"/>
              <w:spacing w:after="0" w:line="240" w:lineRule="auto"/>
              <w:ind w:left="0" w:firstLine="0"/>
              <w:rPr>
                <w:rFonts w:ascii="Arial CE" w:eastAsia="Arial CE" w:hAnsi="Arial CE" w:cs="Arial CE"/>
                <w:color w:val="000000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color w:val="000000"/>
                <w:sz w:val="20"/>
                <w:szCs w:val="20"/>
              </w:rPr>
              <w:t>przygotowywanie raportów, pracę z zapisem obserwacji</w:t>
            </w:r>
          </w:p>
        </w:tc>
      </w:tr>
    </w:tbl>
    <w:p w14:paraId="5A6FAC78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0938545C" w14:textId="77777777" w:rsidR="00EA1ACF" w:rsidRDefault="005024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108FBF4" w14:textId="77777777" w:rsidR="00EA1ACF" w:rsidRDefault="00EA1ACF">
      <w:pPr>
        <w:pStyle w:val="Punktygwne"/>
        <w:spacing w:before="0" w:after="0"/>
        <w:rPr>
          <w:rFonts w:ascii="Corbel" w:hAnsi="Corbel"/>
          <w:szCs w:val="24"/>
        </w:rPr>
      </w:pPr>
    </w:p>
    <w:p w14:paraId="60B691C3" w14:textId="77777777" w:rsidR="00EA1ACF" w:rsidRDefault="005024F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702C2AD" w14:textId="77777777" w:rsidR="00EA1ACF" w:rsidRDefault="00EA1A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EA1ACF" w14:paraId="6A93748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42B6" w14:textId="77777777" w:rsidR="00EA1ACF" w:rsidRDefault="00EA1A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0E1E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Tematyka zajęć obejmuje refleksję nad zagadnieniami związanymi z: </w:t>
            </w:r>
          </w:p>
          <w:p w14:paraId="5751721C" w14:textId="77777777" w:rsidR="00EA1ACF" w:rsidRDefault="005024FC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EA1ACF" w14:paraId="45C39D9A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9A559" w14:textId="77777777" w:rsidR="00EA1ACF" w:rsidRDefault="005024FC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266A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EA1ACF" w14:paraId="7A0BFB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08C4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2FA8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EA1ACF" w14:paraId="3F0422C8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05EF" w14:textId="77777777" w:rsidR="00EA1ACF" w:rsidRDefault="005024FC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6449" w14:textId="77777777" w:rsidR="00EA1ACF" w:rsidRDefault="005024FC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</w:tbl>
    <w:p w14:paraId="1CB71977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58B6A8" w14:textId="77777777" w:rsidR="00EA1ACF" w:rsidRDefault="005024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61642F5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4"/>
        <w:gridCol w:w="5647"/>
        <w:gridCol w:w="2399"/>
      </w:tblGrid>
      <w:tr w:rsidR="00EA1ACF" w14:paraId="0141E96C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E94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10BA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0858" w14:textId="77777777" w:rsidR="00EA1ACF" w:rsidRPr="00542C14" w:rsidRDefault="00502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42C14"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ACF" w14:paraId="542E9494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725B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42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E7A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 xml:space="preserve">znajomość podstaw teoretycznych współczesnych koncepcji komunikacji,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A1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A1ACF" w14:paraId="1AFAF2F0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D96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B330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znajomość i umiejętność stosowania podstawowego instrumentarium obserwacyjnego, orientacja w problemach związanych z pracą obserwacyjną;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F474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K_W02, K_W05, K_U01</w:t>
            </w:r>
          </w:p>
        </w:tc>
      </w:tr>
      <w:tr w:rsidR="00EA1ACF" w14:paraId="2917FFF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B123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E49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F6CD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K_U03, K_U04,K_U06,K_U07, K_K01</w:t>
            </w:r>
          </w:p>
        </w:tc>
      </w:tr>
      <w:tr w:rsidR="00EA1ACF" w14:paraId="69DF8421" w14:textId="77777777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C3B5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</w:rPr>
            </w:pPr>
            <w:r w:rsidRPr="00542C14">
              <w:rPr>
                <w:rFonts w:ascii="Corbel" w:hAnsi="Corbel"/>
              </w:rPr>
              <w:t>EK_04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BED6" w14:textId="77777777" w:rsidR="00EA1ACF" w:rsidRPr="00542C14" w:rsidRDefault="005024FC">
            <w:pPr>
              <w:autoSpaceDE w:val="0"/>
              <w:snapToGrid w:val="0"/>
              <w:spacing w:after="0"/>
              <w:rPr>
                <w:rFonts w:ascii="Corbel" w:eastAsia="Arial CE" w:hAnsi="Corbel" w:cs="Arial CE"/>
                <w:sz w:val="20"/>
                <w:szCs w:val="20"/>
              </w:rPr>
            </w:pPr>
            <w:r w:rsidRPr="00542C14">
              <w:rPr>
                <w:rFonts w:ascii="Corbel" w:eastAsia="Arial CE" w:hAnsi="Corbel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E78A" w14:textId="77777777" w:rsidR="00EA1ACF" w:rsidRPr="00542C14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2C14">
              <w:rPr>
                <w:rFonts w:ascii="Corbel" w:hAnsi="Corbel"/>
                <w:b w:val="0"/>
                <w:smallCaps w:val="0"/>
                <w:szCs w:val="24"/>
              </w:rPr>
              <w:t>K_U08, K_U09, K_K04</w:t>
            </w:r>
          </w:p>
        </w:tc>
      </w:tr>
    </w:tbl>
    <w:p w14:paraId="3EDCCE83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EB6057" w14:textId="77777777" w:rsidR="00EA1ACF" w:rsidRDefault="005024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5BDBC0E5" w14:textId="77777777" w:rsidR="00EA1ACF" w:rsidRDefault="005024F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884027C" w14:textId="77777777" w:rsidR="00EA1ACF" w:rsidRDefault="00EA1A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50FC75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01B1A" w14:textId="77777777" w:rsidR="00EA1ACF" w:rsidRDefault="005024FC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ACF" w14:paraId="773EBAB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223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1. Wykład wprowadzający: 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EA1ACF" w14:paraId="37327AD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E3921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Komunikacja ciałem - „mowa ciała”. Polisensoryczność komunikacji. Zachowania gatunkowe, międzygatunkowe i kulturowe.</w:t>
            </w:r>
          </w:p>
        </w:tc>
      </w:tr>
      <w:tr w:rsidR="00EA1ACF" w14:paraId="41C3201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2109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3. Komunikacja ciałem – rytuały i sygnały komunikacyjne; sztuka i komunikacja. </w:t>
            </w:r>
          </w:p>
        </w:tc>
      </w:tr>
      <w:tr w:rsidR="00EA1ACF" w14:paraId="54A17A41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4F8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Komunikacja w przestrzeni – podstawy analizy, przestrzeń budowana i przestrzeń zajmowana, strategie wobec przestrzeni, rytuały przestrzenne. Kategorie „otwartości” i „zamknięcia” w architekturze.</w:t>
            </w:r>
          </w:p>
        </w:tc>
      </w:tr>
      <w:tr w:rsidR="00EA1ACF" w14:paraId="0018B078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C00D4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EA1ACF" w14:paraId="1D792A22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8AD7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6.</w:t>
            </w:r>
            <w:r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Komunikacja ruchu – kontrola ruchu w przestrzeni. 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EA1ACF" w14:paraId="04E8F8AC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21B2A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7. Wielopoziomowość komunikacji – komunikaty jawne i ukryte, analiza na przykładach: retoryka ciała, reklama, teatr, film (retoryka filmu niemego, retoryka filmu udźwiękowionego) i taniec. Strategie komunikacji przekierowanej uwagi – przykłady z reklamy i perswazji, analiza na przykładach</w:t>
            </w:r>
          </w:p>
        </w:tc>
      </w:tr>
      <w:tr w:rsidR="00EA1ACF" w14:paraId="0F60E4D6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88CDD" w14:textId="77777777" w:rsidR="00EA1ACF" w:rsidRDefault="005024FC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8. Szkic terenowy i sytuacyjny, analiza planów i topografii przestrzennych, analiza scenariuszy ruchowych – przygotowanie do zajęć praktycznych</w:t>
            </w:r>
          </w:p>
        </w:tc>
      </w:tr>
    </w:tbl>
    <w:p w14:paraId="1337A49C" w14:textId="77777777" w:rsidR="00EA1ACF" w:rsidRDefault="00EA1ACF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B75B" w14:textId="77777777" w:rsidR="00EA1ACF" w:rsidRDefault="005024F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B311139" w14:textId="77777777" w:rsidR="00EA1ACF" w:rsidRDefault="00EA1A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A1ACF" w14:paraId="21DDCD8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E9885" w14:textId="77777777" w:rsidR="00EA1ACF" w:rsidRDefault="005024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A1ACF" w14:paraId="0728963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1A7A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70E9D1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B350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A1ACF" w14:paraId="4C9E23E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CD48" w14:textId="77777777" w:rsidR="00EA1ACF" w:rsidRDefault="00EA1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9D3A869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F0A207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584D73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1F9D4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621A1C78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1EC31B5C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3DFD6440" w14:textId="77777777" w:rsidR="00EA1ACF" w:rsidRDefault="005024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F9A3A66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BF1187" w14:textId="77777777" w:rsidR="00EA1ACF" w:rsidRDefault="00EA1A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9B3A7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4EDDB65A" w14:textId="77777777" w:rsidR="009B4AE8" w:rsidRDefault="009B4AE8" w:rsidP="009B4AE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AA98CBD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4588F3A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9B4AE8" w14:paraId="0F1431CF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CC20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BBC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2D1F4DBC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5DE9E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6A2B85" w14:textId="77777777" w:rsidR="009B4AE8" w:rsidRDefault="009B4A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9B4AE8" w14:paraId="6F269FA0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9749" w14:textId="77777777" w:rsidR="009B4AE8" w:rsidRDefault="009B4AE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39121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6F03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9B4AE8" w14:paraId="6FFF184E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BFA7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2D54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CA2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6CBA123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611F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EB49C" w14:textId="77777777" w:rsidR="009B4AE8" w:rsidRDefault="009B4AE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3900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B4AE8" w14:paraId="0D0F7758" w14:textId="77777777" w:rsidTr="009B4AE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E3D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506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D0E6E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562153B" w14:textId="77777777" w:rsidR="009B4AE8" w:rsidRDefault="009B4AE8" w:rsidP="009B4A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53CFE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591BDD5" w14:textId="77777777" w:rsidR="009B4AE8" w:rsidRDefault="009B4AE8" w:rsidP="009B4AE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9B4AE8" w14:paraId="3A88C801" w14:textId="77777777" w:rsidTr="009B4AE8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5AE4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27A78D62" w14:textId="77777777" w:rsidR="009B4AE8" w:rsidRDefault="009B4A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61E7B70D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11664E62" w14:textId="77777777" w:rsidR="009B4AE8" w:rsidRDefault="009B4AE8" w:rsidP="009B4AE8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1CD9C538" w14:textId="77777777" w:rsidR="009B4AE8" w:rsidRDefault="009B4AE8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>sposób posługiwania się użytymi w tekście pojęciami (0-10 pkt), poprawność budowanych interpretacji, zakres poruszanych problemów (0-10 pkt).</w:t>
            </w:r>
          </w:p>
          <w:p w14:paraId="696FB0FC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7CE5A3DC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0CC39D8" w14:textId="77777777" w:rsidR="009B4AE8" w:rsidRDefault="009B4AE8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5D3BDF5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72B131B" w14:textId="77777777" w:rsidR="009B4AE8" w:rsidRDefault="009B4A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FCFAD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EE2FC" w14:textId="77777777" w:rsidR="00EA1ACF" w:rsidRDefault="005024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A6ADCC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A1ACF" w14:paraId="1E250EA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63330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6AE99" w14:textId="77777777" w:rsidR="00EA1ACF" w:rsidRDefault="005024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A1ACF" w14:paraId="39769D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0C2A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6587" w14:textId="3C122DE0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A1ACF" w14:paraId="2F42A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26BE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6FDFE79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2B50" w14:textId="0797408D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1ACF" w14:paraId="7C8CE75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BB0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C9A780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B8B55" w14:textId="1E337513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A1ACF" w14:paraId="0B0B5A8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3B591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96818" w14:textId="53B0D175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A1ACF" w14:paraId="27D8B2C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BA8C" w14:textId="77777777" w:rsidR="00EA1ACF" w:rsidRDefault="005024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A7935" w14:textId="3FD4F6F1" w:rsidR="00EA1ACF" w:rsidRDefault="00542C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E8169" w14:textId="77777777" w:rsidR="00EA1ACF" w:rsidRDefault="005024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1C7772E" w14:textId="77777777" w:rsidR="00EA1ACF" w:rsidRDefault="00EA1A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3F7F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BD0A9D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EA1ACF" w14:paraId="35191B1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E5E1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BAF1A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A1ACF" w14:paraId="676CF99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0B82" w14:textId="77777777" w:rsidR="00EA1ACF" w:rsidRDefault="00502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633C6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AFD458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72208B" w14:textId="77777777" w:rsidR="00EA1ACF" w:rsidRDefault="005024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03572F8B" w14:textId="77777777" w:rsidR="00EA1ACF" w:rsidRDefault="00EA1A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EA1ACF" w14:paraId="53D65B1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7A01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548B55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9722F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 Harding D. (2008),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Wyobrażenia miasta i jego przestrzeni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„Konteksty” 3-4</w:t>
            </w:r>
          </w:p>
          <w:p w14:paraId="5CA61853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Bagłajewski A. (1999),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Miasto-palimpsest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w: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Miejsce rzeczywiste-miejsce wyobrażone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(red.) Kitowska-Łysiak, Lublin</w:t>
            </w:r>
          </w:p>
          <w:p w14:paraId="6B0017F1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Bourdieu P. (2007) </w:t>
            </w:r>
            <w:r>
              <w:rPr>
                <w:rStyle w:val="Quotation"/>
                <w:rFonts w:ascii="Times New Roman" w:eastAsia="Arial CE" w:hAnsi="Times New Roman"/>
              </w:rPr>
              <w:t>Szkic teorii praktyki, poprzedzony trzema studiami na temat etnologii Kabylów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przeł. Wiesław Kroker,  Wyd. Antyk Wydawnictwo-M.Derwiecki, Kęty </w:t>
            </w:r>
          </w:p>
          <w:p w14:paraId="7DA3790D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Eco U. (1972)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Pejzaż semiotyczny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Warszawa 1972</w:t>
            </w:r>
          </w:p>
          <w:p w14:paraId="0367D559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Eliade M. (1991)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Świat, miasto, dom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, „Znak” nr 12</w:t>
            </w:r>
          </w:p>
          <w:p w14:paraId="417060EB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lastRenderedPageBreak/>
              <w:t xml:space="preserve">Lech Tkaczyk (1996) </w:t>
            </w:r>
            <w:r>
              <w:rPr>
                <w:rStyle w:val="Quotation"/>
                <w:rFonts w:ascii="Times New Roman" w:eastAsia="Arial CE" w:hAnsi="Times New Roman"/>
              </w:rPr>
              <w:t>Komunikacja niewerbalna – postawa, mimika, gest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>. Wydawnictwo Astrum, Warszawa</w:t>
            </w:r>
          </w:p>
          <w:p w14:paraId="0F42E9F2" w14:textId="77777777" w:rsidR="00EA1ACF" w:rsidRDefault="005024FC">
            <w:pPr>
              <w:numPr>
                <w:ilvl w:val="0"/>
                <w:numId w:val="5"/>
              </w:numPr>
              <w:autoSpaceDE w:val="0"/>
              <w:snapToGrid w:val="0"/>
              <w:spacing w:after="0"/>
            </w:pP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Mazur J.(red)  (2004) </w:t>
            </w:r>
            <w:r>
              <w:rPr>
                <w:rStyle w:val="Quotation"/>
                <w:rFonts w:ascii="Times New Roman" w:eastAsia="Arial CE" w:hAnsi="Times New Roman"/>
                <w:iCs/>
              </w:rPr>
              <w:t>Rytualizacja w komunikacji społecznej i interkulturowej</w:t>
            </w:r>
            <w:r>
              <w:rPr>
                <w:rStyle w:val="Quotation"/>
                <w:rFonts w:ascii="Times New Roman" w:eastAsia="Arial CE" w:hAnsi="Times New Roman"/>
                <w:i w:val="0"/>
              </w:rPr>
              <w:t xml:space="preserve">, Lublin </w:t>
            </w:r>
          </w:p>
          <w:p w14:paraId="1515A2D6" w14:textId="77777777" w:rsidR="00EA1ACF" w:rsidRDefault="005024FC">
            <w:pPr>
              <w:numPr>
                <w:ilvl w:val="0"/>
                <w:numId w:val="5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Winkin Y.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</w:rPr>
              <w:t>Antropologia komunikacji. Od teorii do badań terenowych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/>
              </w:rPr>
              <w:t>A. Karpowicz, wst. W. Burszta, Wydawnictwo Uniwersytetu Warszawskiego, Warszawa</w:t>
            </w:r>
          </w:p>
          <w:p w14:paraId="7A14AEE0" w14:textId="77777777" w:rsidR="00EA1ACF" w:rsidRDefault="00EA1ACF">
            <w:pPr>
              <w:autoSpaceDE w:val="0"/>
              <w:snapToGrid w:val="0"/>
              <w:spacing w:after="0"/>
              <w:ind w:left="720"/>
              <w:rPr>
                <w:rStyle w:val="Quotation"/>
                <w:rFonts w:ascii="Times New Roman" w:eastAsia="Arial CE" w:hAnsi="Times New Roman"/>
                <w:i w:val="0"/>
              </w:rPr>
            </w:pPr>
          </w:p>
          <w:p w14:paraId="0685BDFE" w14:textId="77777777" w:rsidR="00EA1ACF" w:rsidRDefault="005024FC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EA1ACF" w14:paraId="343CFD7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71F1" w14:textId="77777777" w:rsidR="00EA1ACF" w:rsidRDefault="005024FC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1D0116E" w14:textId="77777777" w:rsidR="00EA1ACF" w:rsidRDefault="00EA1AC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6396B80" w14:textId="77777777" w:rsidR="00EA1ACF" w:rsidRDefault="00EA1ACF">
            <w:pP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</w:pPr>
          </w:p>
          <w:p w14:paraId="33DDCC5E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Bagłajewski A. (1999), </w:t>
            </w:r>
            <w:r>
              <w:rPr>
                <w:rFonts w:ascii="Times New Roman" w:eastAsia="Arial CE" w:hAnsi="Times New Roman"/>
                <w:i/>
                <w:iCs/>
              </w:rPr>
              <w:t>Miasto-palimpsest</w:t>
            </w:r>
            <w:r>
              <w:rPr>
                <w:rFonts w:ascii="Times New Roman" w:eastAsia="Arial CE" w:hAnsi="Times New Roman"/>
              </w:rPr>
              <w:t xml:space="preserve">, w: </w:t>
            </w:r>
            <w:r>
              <w:rPr>
                <w:rFonts w:ascii="Times New Roman" w:eastAsia="Arial CE" w:hAnsi="Times New Roman"/>
                <w:i/>
                <w:iCs/>
              </w:rPr>
              <w:t>Miejsce rzeczywiste-miejsce wyobrażone</w:t>
            </w:r>
            <w:r>
              <w:rPr>
                <w:rFonts w:ascii="Times New Roman" w:eastAsia="Arial CE" w:hAnsi="Times New Roman"/>
              </w:rPr>
              <w:t xml:space="preserve">, (red.) Kitowska-Łysiak, Lublin . </w:t>
            </w:r>
          </w:p>
          <w:p w14:paraId="5EF5F4D5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Collins E. (2002) </w:t>
            </w:r>
            <w:r>
              <w:rPr>
                <w:rFonts w:ascii="Times New Roman" w:hAnsi="Times New Roman"/>
                <w:i/>
                <w:iCs/>
              </w:rPr>
              <w:t>Mowa ciała. Co znaczą nasze gesty?</w:t>
            </w:r>
            <w:r>
              <w:rPr>
                <w:rFonts w:ascii="Times New Roman" w:hAnsi="Times New Roman"/>
              </w:rPr>
              <w:t>, Warszawa</w:t>
            </w:r>
          </w:p>
          <w:p w14:paraId="1CBE828C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Douglas M. (2007) </w:t>
            </w:r>
            <w:r>
              <w:rPr>
                <w:rFonts w:ascii="Times New Roman" w:eastAsia="Arial CE" w:hAnsi="Times New Roman"/>
                <w:i/>
                <w:iCs/>
              </w:rPr>
              <w:t>Czystość i zmaza, t</w:t>
            </w:r>
            <w:r>
              <w:rPr>
                <w:rFonts w:ascii="Times New Roman" w:eastAsia="Arial CE" w:hAnsi="Times New Roman"/>
              </w:rPr>
              <w:t xml:space="preserve">ł. M. Bucholc, wstep: J. Tokarska-Bakir, Warszawa </w:t>
            </w:r>
          </w:p>
          <w:p w14:paraId="53A2EF4D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Geertz Cl. (2003) </w:t>
            </w:r>
            <w:r>
              <w:rPr>
                <w:rFonts w:ascii="Times New Roman" w:eastAsia="Arial CE" w:hAnsi="Times New Roman"/>
                <w:i/>
                <w:iCs/>
              </w:rPr>
              <w:t>Zastane światło</w:t>
            </w:r>
            <w:r>
              <w:rPr>
                <w:rFonts w:ascii="Times New Roman" w:eastAsia="Arial CE" w:hAnsi="Times New Roman"/>
              </w:rPr>
              <w:t xml:space="preserve">, </w:t>
            </w:r>
            <w:r>
              <w:rPr>
                <w:rFonts w:ascii="Times New Roman" w:eastAsia="Arial CE" w:hAnsi="Times New Roman"/>
                <w:i/>
                <w:iCs/>
              </w:rPr>
              <w:t>antropologiczne refleksje na tematy filozoficzne</w:t>
            </w:r>
            <w:r>
              <w:rPr>
                <w:rFonts w:ascii="Times New Roman" w:eastAsia="Arial CE" w:hAnsi="Times New Roman"/>
              </w:rPr>
              <w:t xml:space="preserve">, tł. i wstęp Z. Pucek, Kraków </w:t>
            </w:r>
          </w:p>
          <w:p w14:paraId="2CC350E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Czlowiek w teatrze życia codziennego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Helena Datner-Śpiewak (I in.), Wydawnictwo KT, Warszawa </w:t>
            </w:r>
          </w:p>
          <w:p w14:paraId="5C02EE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Goffman E. (2007)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>Pietno. Rozważania o zranionej tożsamości</w:t>
            </w: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, tł. 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>A. Dzierżynska, J. Tokarska-Bakir, wstęp: J. Tokarska-Bakir, Gdańsk</w:t>
            </w:r>
          </w:p>
          <w:p w14:paraId="777A1822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Krajewski M. (2005) </w:t>
            </w:r>
            <w:r>
              <w:rPr>
                <w:rFonts w:ascii="Times New Roman" w:eastAsia="Arial CE" w:hAnsi="Times New Roman"/>
                <w:i/>
                <w:iCs/>
              </w:rPr>
              <w:t>Co to jest sztuka publiczna?</w:t>
            </w:r>
            <w:r>
              <w:rPr>
                <w:rFonts w:ascii="Times New Roman" w:eastAsia="Arial CE" w:hAnsi="Times New Roman"/>
              </w:rPr>
              <w:t xml:space="preserve"> „Kultura i Społeczeństwo”</w:t>
            </w:r>
          </w:p>
          <w:p w14:paraId="21FCD43A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Krenz J. (1997) </w:t>
            </w:r>
            <w:r>
              <w:rPr>
                <w:rFonts w:ascii="Times New Roman" w:eastAsia="Arial CE" w:hAnsi="Times New Roman"/>
                <w:i/>
                <w:iCs/>
              </w:rPr>
              <w:t>Architektura znaczeń</w:t>
            </w:r>
            <w:r>
              <w:rPr>
                <w:rFonts w:ascii="Times New Roman" w:eastAsia="Arial CE" w:hAnsi="Times New Roman"/>
              </w:rPr>
              <w:t xml:space="preserve">, Gdańsk </w:t>
            </w:r>
          </w:p>
          <w:p w14:paraId="7B6682E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Lange R. (1988)  </w:t>
            </w:r>
            <w:r>
              <w:rPr>
                <w:rFonts w:ascii="Times New Roman" w:eastAsia="Arial CE" w:hAnsi="Times New Roman"/>
                <w:i/>
              </w:rPr>
              <w:t>O istocie tańca i jego przejawach w kulturze</w:t>
            </w:r>
            <w:r>
              <w:rPr>
                <w:rFonts w:ascii="Times New Roman" w:eastAsia="Arial CE" w:hAnsi="Times New Roman"/>
              </w:rPr>
              <w:t xml:space="preserve">, PWM, Kraków. </w:t>
            </w:r>
          </w:p>
          <w:p w14:paraId="26B96703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Lorens P., Martyniuk-Pęczek J. (2010) </w:t>
            </w:r>
            <w:r>
              <w:rPr>
                <w:rFonts w:ascii="Times New Roman" w:eastAsia="Arial CE" w:hAnsi="Times New Roman"/>
                <w:i/>
                <w:iCs/>
              </w:rPr>
              <w:t>Problemy kształtowania przestrzeni publicznej</w:t>
            </w:r>
            <w:r>
              <w:rPr>
                <w:rFonts w:ascii="Times New Roman" w:eastAsia="Arial CE" w:hAnsi="Times New Roman"/>
              </w:rPr>
              <w:t xml:space="preserve">, Wydawnictwo Urbanista, Gdańsk, (online:) http://www.arch.pg.gda.pl/pokl/skrypt%202.pdf </w:t>
            </w:r>
          </w:p>
          <w:p w14:paraId="31B19876" w14:textId="77777777" w:rsidR="00EA1ACF" w:rsidRDefault="005024FC">
            <w:pPr>
              <w:numPr>
                <w:ilvl w:val="0"/>
                <w:numId w:val="6"/>
              </w:numPr>
              <w:autoSpaceDE w:val="0"/>
              <w:spacing w:after="0"/>
            </w:pPr>
            <w:r w:rsidRPr="008235D2">
              <w:rPr>
                <w:rStyle w:val="Quotation"/>
                <w:rFonts w:ascii="Times New Roman" w:eastAsia="Arial CE" w:hAnsi="Times New Roman"/>
                <w:i w:val="0"/>
                <w:lang w:eastAsia="pl-PL"/>
              </w:rPr>
              <w:t xml:space="preserve">Morreale S.P., Spitzberg B.H., Barge J.K. (2000) </w:t>
            </w:r>
            <w:r w:rsidRPr="008235D2">
              <w:rPr>
                <w:rStyle w:val="Quotation"/>
                <w:rFonts w:ascii="Times New Roman" w:eastAsia="Arial CE" w:hAnsi="Times New Roman"/>
                <w:iCs/>
                <w:lang w:eastAsia="pl-PL"/>
              </w:rPr>
              <w:t xml:space="preserve">Komunikacja między ludźmi. </w:t>
            </w:r>
            <w:r>
              <w:rPr>
                <w:rStyle w:val="Quotation"/>
                <w:rFonts w:ascii="Times New Roman" w:eastAsia="Arial CE" w:hAnsi="Times New Roman"/>
                <w:iCs/>
                <w:lang w:val="en-US" w:eastAsia="pl-PL"/>
              </w:rPr>
              <w:t>Motywacja, wiedza i umiejętności</w:t>
            </w:r>
            <w:r>
              <w:rPr>
                <w:rStyle w:val="Quotation"/>
                <w:rFonts w:ascii="Times New Roman" w:eastAsia="Arial CE" w:hAnsi="Times New Roman"/>
                <w:i w:val="0"/>
                <w:lang w:val="en-US" w:eastAsia="pl-PL"/>
              </w:rPr>
              <w:t xml:space="preserve">, Wydawnictwo Naukowe PWN, Warszawa </w:t>
            </w:r>
          </w:p>
          <w:p w14:paraId="0532AD74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Ostaszewski J. (1999) </w:t>
            </w:r>
            <w:r>
              <w:rPr>
                <w:rFonts w:ascii="Times New Roman" w:eastAsia="Arial CE" w:hAnsi="Times New Roman"/>
                <w:i/>
                <w:iCs/>
              </w:rPr>
              <w:t xml:space="preserve">Kognitywna teoria filmu. </w:t>
            </w:r>
            <w:r>
              <w:rPr>
                <w:rFonts w:ascii="Times New Roman" w:hAnsi="Times New Roman"/>
                <w:i/>
                <w:iCs/>
              </w:rPr>
              <w:t>Antologia przekładów</w:t>
            </w:r>
            <w:r>
              <w:rPr>
                <w:rFonts w:ascii="Times New Roman" w:hAnsi="Times New Roman"/>
              </w:rPr>
              <w:t xml:space="preserve">, pod red. J. Ostaszewskiego, Kraków </w:t>
            </w:r>
          </w:p>
          <w:p w14:paraId="0434F2AB" w14:textId="77777777" w:rsidR="00EA1ACF" w:rsidRDefault="005024FC">
            <w:pPr>
              <w:numPr>
                <w:ilvl w:val="0"/>
                <w:numId w:val="6"/>
              </w:numPr>
              <w:autoSpaceDE w:val="0"/>
            </w:pPr>
            <w:r>
              <w:rPr>
                <w:rFonts w:ascii="Times New Roman" w:eastAsia="Arial CE" w:hAnsi="Times New Roman"/>
              </w:rPr>
              <w:t xml:space="preserve">Rey J., (1958 ) </w:t>
            </w:r>
            <w:r>
              <w:rPr>
                <w:rFonts w:ascii="Times New Roman" w:eastAsia="Arial CE" w:hAnsi="Times New Roman"/>
                <w:i/>
              </w:rPr>
              <w:t>Taniec, jego rozwój i formy</w:t>
            </w:r>
            <w:r>
              <w:rPr>
                <w:rFonts w:ascii="Times New Roman" w:eastAsia="Arial CE" w:hAnsi="Times New Roman"/>
              </w:rPr>
              <w:t xml:space="preserve">, Warszawa. </w:t>
            </w:r>
          </w:p>
          <w:p w14:paraId="7E4E2E15" w14:textId="77777777" w:rsidR="00EA1ACF" w:rsidRPr="008235D2" w:rsidRDefault="005024FC">
            <w:pPr>
              <w:numPr>
                <w:ilvl w:val="0"/>
                <w:numId w:val="6"/>
              </w:numPr>
              <w:autoSpaceDE w:val="0"/>
              <w:spacing w:after="0"/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(online:) 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lastRenderedPageBreak/>
              <w:t xml:space="preserve">http://www.inter-disciplinary.net/at-the-interface/wp-content/uploads/2012/06/saundersmgpaper.pdf </w:t>
            </w:r>
          </w:p>
          <w:p w14:paraId="184AE307" w14:textId="77777777" w:rsidR="00EA1ACF" w:rsidRDefault="00EA1ACF">
            <w:pPr>
              <w:autoSpaceDE w:val="0"/>
              <w:spacing w:after="0"/>
              <w:ind w:left="720"/>
              <w:rPr>
                <w:rStyle w:val="Quotation"/>
                <w:rFonts w:ascii="Times New Roman" w:eastAsia="Times New Roman" w:hAnsi="Times New Roman"/>
                <w:i w:val="0"/>
                <w:color w:val="000000"/>
                <w:sz w:val="20"/>
                <w:szCs w:val="20"/>
                <w:lang w:val="en-US" w:eastAsia="pl-PL"/>
              </w:rPr>
            </w:pPr>
          </w:p>
          <w:p w14:paraId="0BF43FB7" w14:textId="77777777" w:rsidR="00EA1ACF" w:rsidRDefault="005024FC">
            <w:pPr>
              <w:autoSpaceDE w:val="0"/>
              <w:spacing w:after="0"/>
              <w:ind w:left="720"/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2D56C1E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A18E37" w14:textId="77777777" w:rsidR="00EA1ACF" w:rsidRDefault="00EA1A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9D396" w14:textId="77777777" w:rsidR="00EA1ACF" w:rsidRDefault="005024FC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A1ACF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8D335" w14:textId="77777777" w:rsidR="001956B1" w:rsidRDefault="001956B1">
      <w:pPr>
        <w:spacing w:after="0" w:line="240" w:lineRule="auto"/>
      </w:pPr>
      <w:r>
        <w:separator/>
      </w:r>
    </w:p>
  </w:endnote>
  <w:endnote w:type="continuationSeparator" w:id="0">
    <w:p w14:paraId="4AE13C14" w14:textId="77777777" w:rsidR="001956B1" w:rsidRDefault="0019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CE">
    <w:altName w:val="Arial"/>
    <w:panose1 w:val="020B060402020202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D6989" w14:textId="77777777" w:rsidR="001956B1" w:rsidRDefault="001956B1">
      <w:r>
        <w:separator/>
      </w:r>
    </w:p>
  </w:footnote>
  <w:footnote w:type="continuationSeparator" w:id="0">
    <w:p w14:paraId="60E02397" w14:textId="77777777" w:rsidR="001956B1" w:rsidRDefault="001956B1">
      <w:r>
        <w:continuationSeparator/>
      </w:r>
    </w:p>
  </w:footnote>
  <w:footnote w:id="1">
    <w:p w14:paraId="1E518FAF" w14:textId="77777777" w:rsidR="00EA1ACF" w:rsidRDefault="005024FC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013E8"/>
    <w:multiLevelType w:val="multilevel"/>
    <w:tmpl w:val="C2605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A11F3D"/>
    <w:multiLevelType w:val="multilevel"/>
    <w:tmpl w:val="246E04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A44B52"/>
    <w:multiLevelType w:val="multilevel"/>
    <w:tmpl w:val="A5CC037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91167F"/>
    <w:multiLevelType w:val="multilevel"/>
    <w:tmpl w:val="813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b w:val="0"/>
        <w:i w:val="0"/>
        <w:iCs w:val="0"/>
        <w:caps w:val="0"/>
        <w:smallCap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78A5AB4"/>
    <w:multiLevelType w:val="multilevel"/>
    <w:tmpl w:val="0C2E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C401B5"/>
    <w:multiLevelType w:val="multilevel"/>
    <w:tmpl w:val="6484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F"/>
    <w:rsid w:val="0010180D"/>
    <w:rsid w:val="001956B1"/>
    <w:rsid w:val="00465BD3"/>
    <w:rsid w:val="005024FC"/>
    <w:rsid w:val="00542C14"/>
    <w:rsid w:val="006F2E0D"/>
    <w:rsid w:val="008235D2"/>
    <w:rsid w:val="009B4AE8"/>
    <w:rsid w:val="00C82E90"/>
    <w:rsid w:val="00E82AA9"/>
    <w:rsid w:val="00E92B73"/>
    <w:rsid w:val="00EA1ACF"/>
    <w:rsid w:val="00F4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B797"/>
  <w15:docId w15:val="{6F842A80-A3C7-40AD-9DAB-6E11923E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  <w:lang w:val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b w:val="0"/>
      <w:i w:val="0"/>
      <w:iCs w:val="0"/>
      <w:caps w:val="0"/>
      <w:smallCap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D7D1F-FEED-49C4-9AA4-98EA8902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1695</Words>
  <Characters>10173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Instytut Filozofii</cp:lastModifiedBy>
  <cp:revision>16</cp:revision>
  <cp:lastPrinted>2019-02-06T12:12:00Z</cp:lastPrinted>
  <dcterms:created xsi:type="dcterms:W3CDTF">2020-10-21T18:58:00Z</dcterms:created>
  <dcterms:modified xsi:type="dcterms:W3CDTF">2024-10-10T07:50:00Z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